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黑体" w:hAnsi="黑体" w:eastAsia="黑体" w:cs="黑体"/>
          <w:sz w:val="32"/>
          <w:szCs w:val="32"/>
        </w:rPr>
      </w:pPr>
      <w:r>
        <w:rPr>
          <w:rFonts w:hint="eastAsia" w:ascii="黑体" w:hAnsi="黑体" w:eastAsia="黑体" w:cs="黑体"/>
          <w:sz w:val="32"/>
          <w:szCs w:val="32"/>
        </w:rPr>
        <w:t>动物医学院关于推免工作</w:t>
      </w:r>
      <w:r>
        <w:rPr>
          <w:rFonts w:hint="eastAsia" w:ascii="黑体" w:hAnsi="黑体" w:eastAsia="黑体" w:cs="黑体"/>
          <w:sz w:val="32"/>
          <w:szCs w:val="32"/>
        </w:rPr>
        <w:t>中</w:t>
      </w:r>
      <w:r>
        <w:rPr>
          <w:rFonts w:hint="eastAsia" w:ascii="黑体" w:hAnsi="黑体" w:eastAsia="黑体" w:cs="黑体"/>
          <w:sz w:val="32"/>
          <w:szCs w:val="32"/>
        </w:rPr>
        <w:t>奖励分加分细则</w:t>
      </w:r>
    </w:p>
    <w:p>
      <w:pPr>
        <w:ind w:firstLine="420"/>
        <w:rPr>
          <w:rFonts w:ascii="仿宋" w:hAnsi="仿宋" w:eastAsia="仿宋"/>
          <w:sz w:val="28"/>
          <w:szCs w:val="28"/>
        </w:rPr>
      </w:pPr>
      <w:r>
        <w:rPr>
          <w:rFonts w:hint="eastAsia" w:ascii="仿宋" w:hAnsi="仿宋" w:eastAsia="仿宋"/>
          <w:sz w:val="28"/>
          <w:szCs w:val="28"/>
        </w:rPr>
        <w:t>根据《教育部办公厅关于进一步规范和加强推荐优秀应届本科毕业生免试攻读研究生工作的通知》（教学厅</w:t>
      </w:r>
      <w:r>
        <w:rPr>
          <w:rFonts w:ascii="仿宋" w:hAnsi="仿宋" w:eastAsia="仿宋"/>
          <w:sz w:val="28"/>
          <w:szCs w:val="28"/>
        </w:rPr>
        <w:t>[2020]年12号）</w:t>
      </w:r>
      <w:r>
        <w:rPr>
          <w:rFonts w:hint="eastAsia" w:ascii="仿宋" w:hAnsi="仿宋" w:eastAsia="仿宋"/>
          <w:sz w:val="28"/>
          <w:szCs w:val="28"/>
        </w:rPr>
        <w:t>和</w:t>
      </w:r>
      <w:r>
        <w:rPr>
          <w:rFonts w:ascii="仿宋" w:hAnsi="仿宋" w:eastAsia="仿宋"/>
          <w:sz w:val="28"/>
          <w:szCs w:val="28"/>
        </w:rPr>
        <w:t>河南省</w:t>
      </w:r>
      <w:r>
        <w:rPr>
          <w:rFonts w:hint="eastAsia" w:ascii="仿宋" w:hAnsi="仿宋" w:eastAsia="仿宋"/>
          <w:sz w:val="28"/>
          <w:szCs w:val="28"/>
        </w:rPr>
        <w:t>教育考试院</w:t>
      </w:r>
      <w:r>
        <w:rPr>
          <w:rFonts w:ascii="仿宋" w:hAnsi="仿宋" w:eastAsia="仿宋"/>
          <w:sz w:val="28"/>
          <w:szCs w:val="28"/>
        </w:rPr>
        <w:t>要求，</w:t>
      </w:r>
      <w:r>
        <w:rPr>
          <w:rFonts w:hint="eastAsia" w:ascii="仿宋" w:hAnsi="仿宋" w:eastAsia="仿宋"/>
          <w:sz w:val="28"/>
          <w:szCs w:val="28"/>
        </w:rPr>
        <w:t>结合学院</w:t>
      </w:r>
      <w:r>
        <w:rPr>
          <w:rFonts w:ascii="仿宋" w:hAnsi="仿宋" w:eastAsia="仿宋"/>
          <w:sz w:val="28"/>
          <w:szCs w:val="28"/>
        </w:rPr>
        <w:t>实际情况，现对我</w:t>
      </w:r>
      <w:r>
        <w:rPr>
          <w:rFonts w:hint="eastAsia" w:ascii="仿宋" w:hAnsi="仿宋" w:eastAsia="仿宋"/>
          <w:sz w:val="28"/>
          <w:szCs w:val="28"/>
        </w:rPr>
        <w:t>院推免奖励分加分工作有关事宜通知如下：</w:t>
      </w:r>
    </w:p>
    <w:p>
      <w:pPr>
        <w:rPr>
          <w:rFonts w:ascii="仿宋" w:hAnsi="仿宋" w:eastAsia="仿宋"/>
          <w:sz w:val="28"/>
          <w:szCs w:val="28"/>
        </w:rPr>
      </w:pPr>
      <w:r>
        <w:rPr>
          <w:rFonts w:hint="eastAsia" w:ascii="仿宋" w:hAnsi="仿宋" w:eastAsia="仿宋"/>
          <w:sz w:val="28"/>
          <w:szCs w:val="28"/>
        </w:rPr>
        <w:t>一</w:t>
      </w:r>
      <w:r>
        <w:rPr>
          <w:rFonts w:ascii="仿宋" w:hAnsi="仿宋" w:eastAsia="仿宋"/>
          <w:sz w:val="28"/>
          <w:szCs w:val="28"/>
        </w:rPr>
        <w:t>、</w:t>
      </w:r>
      <w:r>
        <w:rPr>
          <w:rFonts w:hint="eastAsia" w:ascii="仿宋" w:hAnsi="仿宋" w:eastAsia="仿宋"/>
          <w:sz w:val="28"/>
          <w:szCs w:val="28"/>
        </w:rPr>
        <w:t>学院成立专家审核小组</w:t>
      </w:r>
    </w:p>
    <w:p>
      <w:pPr>
        <w:ind w:firstLine="420"/>
        <w:rPr>
          <w:rFonts w:hint="default" w:ascii="仿宋" w:hAnsi="仿宋" w:eastAsia="仿宋"/>
          <w:sz w:val="28"/>
          <w:szCs w:val="28"/>
          <w:lang w:val="en-US" w:eastAsia="zh-CN"/>
        </w:rPr>
      </w:pPr>
      <w:r>
        <w:rPr>
          <w:rFonts w:hint="eastAsia" w:ascii="仿宋" w:hAnsi="仿宋" w:eastAsia="仿宋"/>
          <w:sz w:val="28"/>
          <w:szCs w:val="28"/>
        </w:rPr>
        <w:t>审核组组长：</w:t>
      </w:r>
      <w:r>
        <w:rPr>
          <w:rFonts w:hint="eastAsia" w:ascii="仿宋" w:hAnsi="仿宋" w:eastAsia="仿宋"/>
          <w:sz w:val="28"/>
          <w:szCs w:val="28"/>
          <w:lang w:val="en-US" w:eastAsia="zh-CN"/>
        </w:rPr>
        <w:t>廖仲磊 张龙现</w:t>
      </w:r>
    </w:p>
    <w:p>
      <w:pPr>
        <w:ind w:firstLine="420"/>
        <w:rPr>
          <w:rFonts w:hint="eastAsia" w:ascii="仿宋" w:hAnsi="仿宋" w:eastAsia="仿宋"/>
          <w:sz w:val="28"/>
          <w:szCs w:val="28"/>
        </w:rPr>
      </w:pPr>
      <w:r>
        <w:rPr>
          <w:rFonts w:hint="eastAsia" w:ascii="仿宋" w:hAnsi="仿宋" w:eastAsia="仿宋"/>
          <w:sz w:val="28"/>
          <w:szCs w:val="28"/>
        </w:rPr>
        <w:t>审核成员;</w:t>
      </w:r>
      <w:r>
        <w:rPr>
          <w:rFonts w:hint="eastAsia" w:ascii="仿宋" w:hAnsi="仿宋" w:eastAsia="仿宋"/>
          <w:sz w:val="28"/>
          <w:szCs w:val="28"/>
          <w:lang w:val="en-US" w:eastAsia="zh-CN"/>
        </w:rPr>
        <w:t>韩立强 杜家方 杨百丽 商艳红 李永涛</w:t>
      </w:r>
      <w:r>
        <w:rPr>
          <w:rFonts w:hint="eastAsia" w:ascii="仿宋" w:hAnsi="仿宋" w:eastAsia="仿宋"/>
          <w:sz w:val="28"/>
          <w:szCs w:val="28"/>
        </w:rPr>
        <w:t xml:space="preserve"> 张红垒 </w:t>
      </w:r>
    </w:p>
    <w:p>
      <w:pPr>
        <w:ind w:firstLine="420"/>
        <w:rPr>
          <w:rFonts w:ascii="仿宋" w:hAnsi="仿宋" w:eastAsia="仿宋"/>
          <w:sz w:val="28"/>
          <w:szCs w:val="28"/>
        </w:rPr>
      </w:pPr>
      <w:bookmarkStart w:id="0" w:name="_GoBack"/>
      <w:bookmarkEnd w:id="0"/>
      <w:r>
        <w:rPr>
          <w:rFonts w:hint="eastAsia" w:ascii="仿宋" w:hAnsi="仿宋" w:eastAsia="仿宋"/>
          <w:sz w:val="28"/>
          <w:szCs w:val="28"/>
        </w:rPr>
        <w:t>朱河水 王学兵 吴亚楠</w:t>
      </w:r>
    </w:p>
    <w:p>
      <w:pPr>
        <w:ind w:firstLine="420"/>
        <w:rPr>
          <w:rFonts w:ascii="仿宋" w:hAnsi="仿宋" w:eastAsia="仿宋"/>
          <w:sz w:val="28"/>
          <w:szCs w:val="28"/>
        </w:rPr>
      </w:pPr>
      <w:r>
        <w:rPr>
          <w:rFonts w:ascii="仿宋" w:hAnsi="仿宋" w:eastAsia="仿宋"/>
          <w:sz w:val="28"/>
          <w:szCs w:val="28"/>
        </w:rPr>
        <w:t>对申请推免资格学生的科研创新成果、论文、竞赛获奖奖项及内容进行审核鉴定，排除抄袭、造假、冒名及有名无实等情况。对学生提交的多篇科研成果实行代表作评价，评价重点聚焦到创新质量和个人贡献。专家审核小组及每位成员都要给出明确审核鉴定意见并签字存档。通过审核鉴定或答辩的学生特殊学术专</w:t>
      </w:r>
      <w:r>
        <w:rPr>
          <w:rFonts w:hint="eastAsia" w:ascii="仿宋" w:hAnsi="仿宋" w:eastAsia="仿宋"/>
          <w:sz w:val="28"/>
          <w:szCs w:val="28"/>
        </w:rPr>
        <w:t>长，须</w:t>
      </w:r>
      <w:r>
        <w:rPr>
          <w:rFonts w:ascii="仿宋" w:hAnsi="仿宋" w:eastAsia="仿宋"/>
          <w:sz w:val="28"/>
          <w:szCs w:val="28"/>
        </w:rPr>
        <w:t>在学院网站上予以公示。未通过审核鉴定或答辩的，不得纳入奖励分计算体系。</w:t>
      </w:r>
    </w:p>
    <w:p>
      <w:pPr>
        <w:rPr>
          <w:rFonts w:ascii="仿宋" w:hAnsi="仿宋" w:eastAsia="仿宋"/>
          <w:sz w:val="28"/>
          <w:szCs w:val="28"/>
        </w:rPr>
      </w:pPr>
      <w:r>
        <w:rPr>
          <w:rFonts w:hint="eastAsia" w:ascii="仿宋" w:hAnsi="仿宋" w:eastAsia="仿宋"/>
          <w:sz w:val="28"/>
          <w:szCs w:val="28"/>
        </w:rPr>
        <w:t>二、奖励分加分细则</w:t>
      </w:r>
    </w:p>
    <w:p>
      <w:pPr>
        <w:numPr>
          <w:ilvl w:val="0"/>
          <w:numId w:val="1"/>
        </w:numPr>
        <w:rPr>
          <w:rFonts w:ascii="仿宋" w:hAnsi="仿宋" w:eastAsia="仿宋"/>
          <w:sz w:val="28"/>
          <w:szCs w:val="28"/>
        </w:rPr>
      </w:pPr>
      <w:r>
        <w:rPr>
          <w:rFonts w:ascii="仿宋" w:hAnsi="仿宋" w:eastAsia="仿宋"/>
          <w:color w:val="000000"/>
          <w:sz w:val="28"/>
          <w:szCs w:val="28"/>
          <w:shd w:val="clear" w:color="auto" w:fill="FFFFFF"/>
        </w:rPr>
        <w:t>学生参军入伍服兵役</w:t>
      </w:r>
      <w:r>
        <w:rPr>
          <w:rFonts w:hint="eastAsia" w:ascii="仿宋" w:hAnsi="仿宋" w:eastAsia="仿宋"/>
          <w:color w:val="000000"/>
          <w:sz w:val="28"/>
          <w:szCs w:val="28"/>
          <w:shd w:val="clear" w:color="auto" w:fill="FFFFFF"/>
        </w:rPr>
        <w:t>（2分）</w:t>
      </w:r>
    </w:p>
    <w:p>
      <w:pPr>
        <w:numPr>
          <w:ilvl w:val="0"/>
          <w:numId w:val="1"/>
        </w:numPr>
        <w:rPr>
          <w:rFonts w:ascii="仿宋" w:hAnsi="仿宋" w:eastAsia="仿宋"/>
          <w:color w:val="000000"/>
          <w:sz w:val="28"/>
          <w:szCs w:val="28"/>
          <w:shd w:val="clear" w:color="auto" w:fill="FFFFFF"/>
        </w:rPr>
      </w:pPr>
      <w:r>
        <w:rPr>
          <w:rFonts w:ascii="仿宋" w:hAnsi="仿宋" w:eastAsia="仿宋"/>
          <w:color w:val="000000"/>
          <w:sz w:val="28"/>
          <w:szCs w:val="28"/>
          <w:shd w:val="clear" w:color="auto" w:fill="FFFFFF"/>
        </w:rPr>
        <w:t>参加志愿服务</w:t>
      </w:r>
      <w:r>
        <w:rPr>
          <w:rFonts w:hint="eastAsia" w:ascii="仿宋" w:hAnsi="仿宋" w:eastAsia="仿宋"/>
          <w:color w:val="000000"/>
          <w:sz w:val="28"/>
          <w:szCs w:val="28"/>
          <w:shd w:val="clear" w:color="auto" w:fill="FFFFFF"/>
        </w:rPr>
        <w:t>（2分）</w:t>
      </w:r>
    </w:p>
    <w:tbl>
      <w:tblPr>
        <w:tblStyle w:val="6"/>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4659"/>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024" w:type="dxa"/>
          </w:tcPr>
          <w:p>
            <w:pPr>
              <w:rPr>
                <w:rFonts w:ascii="仿宋" w:hAnsi="仿宋" w:eastAsia="仿宋"/>
                <w:sz w:val="28"/>
                <w:szCs w:val="28"/>
              </w:rPr>
            </w:pPr>
            <w:r>
              <w:rPr>
                <w:rFonts w:hint="eastAsia" w:ascii="仿宋" w:hAnsi="仿宋" w:eastAsia="仿宋"/>
                <w:sz w:val="28"/>
                <w:szCs w:val="28"/>
              </w:rPr>
              <w:t>序号</w:t>
            </w:r>
          </w:p>
        </w:tc>
        <w:tc>
          <w:tcPr>
            <w:tcW w:w="4659" w:type="dxa"/>
          </w:tcPr>
          <w:p>
            <w:pPr>
              <w:ind w:firstLine="420"/>
              <w:rPr>
                <w:rFonts w:ascii="仿宋" w:hAnsi="仿宋" w:eastAsia="仿宋"/>
                <w:sz w:val="28"/>
                <w:szCs w:val="28"/>
              </w:rPr>
            </w:pPr>
            <w:r>
              <w:rPr>
                <w:rFonts w:hint="eastAsia" w:ascii="仿宋" w:hAnsi="仿宋" w:eastAsia="仿宋"/>
                <w:sz w:val="28"/>
                <w:szCs w:val="28"/>
              </w:rPr>
              <w:t>级别</w:t>
            </w:r>
          </w:p>
        </w:tc>
        <w:tc>
          <w:tcPr>
            <w:tcW w:w="2839" w:type="dxa"/>
          </w:tcPr>
          <w:p>
            <w:pPr>
              <w:ind w:firstLine="420"/>
              <w:rPr>
                <w:rFonts w:ascii="仿宋" w:hAnsi="仿宋" w:eastAsia="仿宋"/>
                <w:sz w:val="28"/>
                <w:szCs w:val="28"/>
              </w:rPr>
            </w:pPr>
            <w:r>
              <w:rPr>
                <w:rFonts w:hint="eastAsia" w:ascii="仿宋" w:hAnsi="仿宋" w:eastAsia="仿宋"/>
                <w:sz w:val="28"/>
                <w:szCs w:val="28"/>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024" w:type="dxa"/>
          </w:tcPr>
          <w:p>
            <w:pPr>
              <w:ind w:firstLine="420"/>
              <w:rPr>
                <w:rFonts w:ascii="仿宋" w:hAnsi="仿宋" w:eastAsia="仿宋"/>
                <w:sz w:val="28"/>
                <w:szCs w:val="28"/>
              </w:rPr>
            </w:pPr>
            <w:r>
              <w:rPr>
                <w:rFonts w:hint="eastAsia" w:ascii="仿宋" w:hAnsi="仿宋" w:eastAsia="仿宋"/>
                <w:sz w:val="28"/>
                <w:szCs w:val="28"/>
              </w:rPr>
              <w:t>1</w:t>
            </w:r>
          </w:p>
        </w:tc>
        <w:tc>
          <w:tcPr>
            <w:tcW w:w="4659" w:type="dxa"/>
          </w:tcPr>
          <w:p>
            <w:pPr>
              <w:jc w:val="left"/>
              <w:rPr>
                <w:rFonts w:ascii="仿宋" w:hAnsi="仿宋" w:eastAsia="仿宋"/>
                <w:sz w:val="28"/>
                <w:szCs w:val="28"/>
              </w:rPr>
            </w:pPr>
            <w:r>
              <w:rPr>
                <w:rFonts w:hint="eastAsia" w:ascii="仿宋" w:hAnsi="仿宋" w:eastAsia="仿宋"/>
                <w:sz w:val="28"/>
                <w:szCs w:val="28"/>
              </w:rPr>
              <w:t>国家级</w:t>
            </w:r>
          </w:p>
        </w:tc>
        <w:tc>
          <w:tcPr>
            <w:tcW w:w="2839" w:type="dxa"/>
          </w:tcPr>
          <w:p>
            <w:pPr>
              <w:ind w:firstLine="420"/>
              <w:rPr>
                <w:rFonts w:ascii="仿宋" w:hAnsi="仿宋" w:eastAsia="仿宋"/>
                <w:sz w:val="28"/>
                <w:szCs w:val="28"/>
              </w:rPr>
            </w:pPr>
            <w:r>
              <w:rPr>
                <w:rFonts w:hint="eastAsia" w:ascii="仿宋" w:hAnsi="仿宋" w:eastAsia="仿宋"/>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024" w:type="dxa"/>
          </w:tcPr>
          <w:p>
            <w:pPr>
              <w:ind w:firstLine="420"/>
              <w:rPr>
                <w:rFonts w:ascii="仿宋" w:hAnsi="仿宋" w:eastAsia="仿宋"/>
                <w:sz w:val="28"/>
                <w:szCs w:val="28"/>
              </w:rPr>
            </w:pPr>
            <w:r>
              <w:rPr>
                <w:rFonts w:hint="eastAsia" w:ascii="仿宋" w:hAnsi="仿宋" w:eastAsia="仿宋"/>
                <w:sz w:val="28"/>
                <w:szCs w:val="28"/>
              </w:rPr>
              <w:t>2</w:t>
            </w:r>
          </w:p>
        </w:tc>
        <w:tc>
          <w:tcPr>
            <w:tcW w:w="4659" w:type="dxa"/>
          </w:tcPr>
          <w:p>
            <w:pPr>
              <w:jc w:val="left"/>
              <w:rPr>
                <w:rFonts w:ascii="仿宋" w:hAnsi="仿宋" w:eastAsia="仿宋"/>
                <w:sz w:val="28"/>
                <w:szCs w:val="28"/>
              </w:rPr>
            </w:pPr>
            <w:r>
              <w:rPr>
                <w:rFonts w:hint="eastAsia" w:ascii="仿宋" w:hAnsi="仿宋" w:eastAsia="仿宋"/>
                <w:sz w:val="28"/>
                <w:szCs w:val="28"/>
              </w:rPr>
              <w:t>省部级</w:t>
            </w:r>
          </w:p>
        </w:tc>
        <w:tc>
          <w:tcPr>
            <w:tcW w:w="2839" w:type="dxa"/>
          </w:tcPr>
          <w:p>
            <w:pPr>
              <w:ind w:firstLine="420"/>
              <w:rPr>
                <w:rFonts w:ascii="仿宋" w:hAnsi="仿宋" w:eastAsia="仿宋"/>
                <w:sz w:val="28"/>
                <w:szCs w:val="28"/>
              </w:rPr>
            </w:pPr>
            <w:r>
              <w:rPr>
                <w:rFonts w:hint="eastAsia" w:ascii="仿宋" w:hAnsi="仿宋" w:eastAsia="仿宋"/>
                <w:sz w:val="28"/>
                <w:szCs w:val="2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024" w:type="dxa"/>
          </w:tcPr>
          <w:p>
            <w:pPr>
              <w:ind w:firstLine="420"/>
              <w:rPr>
                <w:rFonts w:ascii="仿宋" w:hAnsi="仿宋" w:eastAsia="仿宋"/>
                <w:sz w:val="28"/>
                <w:szCs w:val="28"/>
              </w:rPr>
            </w:pPr>
            <w:r>
              <w:rPr>
                <w:rFonts w:hint="eastAsia" w:ascii="仿宋" w:hAnsi="仿宋" w:eastAsia="仿宋"/>
                <w:sz w:val="28"/>
                <w:szCs w:val="28"/>
              </w:rPr>
              <w:t>3</w:t>
            </w:r>
          </w:p>
        </w:tc>
        <w:tc>
          <w:tcPr>
            <w:tcW w:w="4659" w:type="dxa"/>
          </w:tcPr>
          <w:p>
            <w:pPr>
              <w:jc w:val="left"/>
              <w:rPr>
                <w:rFonts w:ascii="仿宋" w:hAnsi="仿宋" w:eastAsia="仿宋"/>
                <w:sz w:val="28"/>
                <w:szCs w:val="28"/>
              </w:rPr>
            </w:pPr>
            <w:r>
              <w:rPr>
                <w:rFonts w:hint="eastAsia" w:ascii="仿宋" w:hAnsi="仿宋" w:eastAsia="仿宋"/>
                <w:sz w:val="28"/>
                <w:szCs w:val="28"/>
              </w:rPr>
              <w:t>厅局（直辖市）级</w:t>
            </w:r>
          </w:p>
        </w:tc>
        <w:tc>
          <w:tcPr>
            <w:tcW w:w="2839" w:type="dxa"/>
          </w:tcPr>
          <w:p>
            <w:pPr>
              <w:ind w:firstLine="420"/>
              <w:rPr>
                <w:rFonts w:ascii="仿宋" w:hAnsi="仿宋" w:eastAsia="仿宋"/>
                <w:sz w:val="28"/>
                <w:szCs w:val="28"/>
              </w:rPr>
            </w:pPr>
            <w:r>
              <w:rPr>
                <w:rFonts w:hint="eastAsia" w:ascii="仿宋" w:hAnsi="仿宋" w:eastAsia="仿宋"/>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jc w:val="right"/>
        </w:trPr>
        <w:tc>
          <w:tcPr>
            <w:tcW w:w="1024" w:type="dxa"/>
          </w:tcPr>
          <w:p>
            <w:pPr>
              <w:ind w:firstLine="420"/>
              <w:rPr>
                <w:rFonts w:ascii="仿宋" w:hAnsi="仿宋" w:eastAsia="仿宋"/>
                <w:sz w:val="28"/>
                <w:szCs w:val="28"/>
              </w:rPr>
            </w:pPr>
            <w:r>
              <w:rPr>
                <w:rFonts w:hint="eastAsia" w:ascii="仿宋" w:hAnsi="仿宋" w:eastAsia="仿宋"/>
                <w:sz w:val="28"/>
                <w:szCs w:val="28"/>
              </w:rPr>
              <w:t>4</w:t>
            </w:r>
          </w:p>
        </w:tc>
        <w:tc>
          <w:tcPr>
            <w:tcW w:w="4659" w:type="dxa"/>
          </w:tcPr>
          <w:p>
            <w:pPr>
              <w:jc w:val="left"/>
              <w:rPr>
                <w:rFonts w:ascii="仿宋" w:hAnsi="仿宋" w:eastAsia="仿宋"/>
                <w:sz w:val="28"/>
                <w:szCs w:val="28"/>
              </w:rPr>
            </w:pPr>
            <w:r>
              <w:rPr>
                <w:rFonts w:hint="eastAsia" w:ascii="仿宋" w:hAnsi="仿宋" w:eastAsia="仿宋"/>
                <w:sz w:val="28"/>
                <w:szCs w:val="28"/>
              </w:rPr>
              <w:t>县处区级（等同校级、央企、国企、上市企业）</w:t>
            </w:r>
          </w:p>
        </w:tc>
        <w:tc>
          <w:tcPr>
            <w:tcW w:w="2839" w:type="dxa"/>
          </w:tcPr>
          <w:p>
            <w:pPr>
              <w:ind w:firstLine="420"/>
              <w:rPr>
                <w:rFonts w:ascii="仿宋" w:hAnsi="仿宋" w:eastAsia="仿宋"/>
                <w:sz w:val="28"/>
                <w:szCs w:val="28"/>
              </w:rPr>
            </w:pPr>
            <w:r>
              <w:rPr>
                <w:rFonts w:hint="eastAsia" w:ascii="仿宋" w:hAnsi="仿宋" w:eastAsia="仿宋"/>
                <w:sz w:val="28"/>
                <w:szCs w:val="2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024" w:type="dxa"/>
          </w:tcPr>
          <w:p>
            <w:pPr>
              <w:ind w:firstLine="420"/>
              <w:rPr>
                <w:rFonts w:ascii="仿宋" w:hAnsi="仿宋" w:eastAsia="仿宋"/>
                <w:sz w:val="28"/>
                <w:szCs w:val="28"/>
              </w:rPr>
            </w:pPr>
            <w:r>
              <w:rPr>
                <w:rFonts w:hint="eastAsia" w:ascii="仿宋" w:hAnsi="仿宋" w:eastAsia="仿宋"/>
                <w:sz w:val="28"/>
                <w:szCs w:val="28"/>
              </w:rPr>
              <w:t>5</w:t>
            </w:r>
          </w:p>
        </w:tc>
        <w:tc>
          <w:tcPr>
            <w:tcW w:w="4659" w:type="dxa"/>
          </w:tcPr>
          <w:p>
            <w:pPr>
              <w:jc w:val="left"/>
              <w:rPr>
                <w:rFonts w:ascii="仿宋" w:hAnsi="仿宋" w:eastAsia="仿宋"/>
                <w:sz w:val="28"/>
                <w:szCs w:val="28"/>
              </w:rPr>
            </w:pPr>
            <w:r>
              <w:rPr>
                <w:rFonts w:hint="eastAsia" w:ascii="仿宋" w:hAnsi="仿宋" w:eastAsia="仿宋"/>
                <w:sz w:val="28"/>
                <w:szCs w:val="28"/>
              </w:rPr>
              <w:t>县处级以下（县辖局、乡镇、街道、村）</w:t>
            </w:r>
          </w:p>
        </w:tc>
        <w:tc>
          <w:tcPr>
            <w:tcW w:w="2839" w:type="dxa"/>
          </w:tcPr>
          <w:p>
            <w:pPr>
              <w:ind w:firstLine="420"/>
              <w:rPr>
                <w:rFonts w:ascii="仿宋" w:hAnsi="仿宋" w:eastAsia="仿宋"/>
                <w:sz w:val="28"/>
                <w:szCs w:val="28"/>
              </w:rPr>
            </w:pPr>
            <w:r>
              <w:rPr>
                <w:rFonts w:hint="eastAsia" w:ascii="仿宋" w:hAnsi="仿宋" w:eastAsia="仿宋"/>
                <w:sz w:val="28"/>
                <w:szCs w:val="28"/>
              </w:rPr>
              <w:t>0.3</w:t>
            </w:r>
          </w:p>
        </w:tc>
      </w:tr>
    </w:tbl>
    <w:p>
      <w:pPr>
        <w:ind w:left="840" w:hanging="840" w:hangingChars="300"/>
        <w:jc w:val="left"/>
        <w:rPr>
          <w:rFonts w:ascii="仿宋" w:hAnsi="仿宋" w:eastAsia="仿宋"/>
          <w:sz w:val="28"/>
          <w:szCs w:val="28"/>
        </w:rPr>
      </w:pPr>
      <w:r>
        <w:rPr>
          <w:rFonts w:hint="eastAsia" w:ascii="仿宋" w:hAnsi="仿宋" w:eastAsia="仿宋"/>
          <w:sz w:val="28"/>
          <w:szCs w:val="28"/>
        </w:rPr>
        <w:t>注：1.以提交服务的最高级别认定，不重复累计，认定级别以公章为准，如省级为省级人民政府公章（或相当于）；</w:t>
      </w:r>
    </w:p>
    <w:p>
      <w:pPr>
        <w:ind w:firstLine="560" w:firstLineChars="200"/>
        <w:jc w:val="left"/>
        <w:rPr>
          <w:rFonts w:asciiTheme="majorEastAsia" w:hAnsiTheme="majorEastAsia" w:eastAsiaTheme="majorEastAsia"/>
          <w:color w:val="000000"/>
        </w:rPr>
      </w:pPr>
      <w:r>
        <w:rPr>
          <w:rFonts w:hint="eastAsia" w:ascii="仿宋" w:hAnsi="仿宋" w:eastAsia="仿宋"/>
          <w:sz w:val="28"/>
          <w:szCs w:val="28"/>
        </w:rPr>
        <w:t>2.各类社会组织及其二级机构认定，由学院审核小组商议认定。</w:t>
      </w:r>
    </w:p>
    <w:p>
      <w:pPr>
        <w:numPr>
          <w:ilvl w:val="0"/>
          <w:numId w:val="1"/>
        </w:numPr>
        <w:rPr>
          <w:rFonts w:ascii="仿宋" w:hAnsi="仿宋" w:eastAsia="仿宋"/>
          <w:sz w:val="28"/>
          <w:szCs w:val="28"/>
        </w:rPr>
      </w:pPr>
      <w:r>
        <w:rPr>
          <w:rFonts w:hint="eastAsia" w:ascii="仿宋" w:hAnsi="仿宋" w:eastAsia="仿宋"/>
          <w:sz w:val="28"/>
          <w:szCs w:val="28"/>
        </w:rPr>
        <w:t>到国际组织实习（满分2分）</w:t>
      </w:r>
    </w:p>
    <w:tbl>
      <w:tblPr>
        <w:tblStyle w:val="5"/>
        <w:tblW w:w="0" w:type="auto"/>
        <w:jc w:val="center"/>
        <w:shd w:val="clear" w:color="auto" w:fill="FFFFFF"/>
        <w:tblLayout w:type="autofit"/>
        <w:tblCellMar>
          <w:top w:w="0" w:type="dxa"/>
          <w:left w:w="0" w:type="dxa"/>
          <w:bottom w:w="0" w:type="dxa"/>
          <w:right w:w="0" w:type="dxa"/>
        </w:tblCellMar>
      </w:tblPr>
      <w:tblGrid>
        <w:gridCol w:w="4215"/>
        <w:gridCol w:w="3990"/>
      </w:tblGrid>
      <w:tr>
        <w:tblPrEx>
          <w:shd w:val="clear" w:color="auto" w:fill="FFFFFF"/>
          <w:tblCellMar>
            <w:top w:w="0" w:type="dxa"/>
            <w:left w:w="0" w:type="dxa"/>
            <w:bottom w:w="0" w:type="dxa"/>
            <w:right w:w="0" w:type="dxa"/>
          </w:tblCellMar>
        </w:tblPrEx>
        <w:trPr>
          <w:trHeight w:val="620" w:hRule="atLeast"/>
          <w:jc w:val="center"/>
        </w:trPr>
        <w:tc>
          <w:tcPr>
            <w:tcW w:w="4215" w:type="dxa"/>
            <w:tcBorders>
              <w:top w:val="single" w:color="auto" w:sz="6" w:space="0"/>
              <w:left w:val="single" w:color="auto" w:sz="6" w:space="0"/>
              <w:bottom w:val="single" w:color="auto" w:sz="6" w:space="0"/>
              <w:right w:val="single" w:color="auto" w:sz="6" w:space="0"/>
            </w:tcBorders>
            <w:shd w:val="clear" w:color="auto" w:fill="FFFFFF"/>
            <w:tcMar>
              <w:top w:w="75" w:type="dxa"/>
              <w:left w:w="150" w:type="dxa"/>
              <w:bottom w:w="75" w:type="dxa"/>
              <w:right w:w="150" w:type="dxa"/>
            </w:tcMar>
            <w:vAlign w:val="center"/>
          </w:tcPr>
          <w:p>
            <w:pPr>
              <w:ind w:firstLine="420"/>
              <w:rPr>
                <w:rFonts w:ascii="仿宋" w:hAnsi="仿宋" w:eastAsia="仿宋"/>
                <w:sz w:val="28"/>
                <w:szCs w:val="28"/>
              </w:rPr>
            </w:pPr>
            <w:r>
              <w:rPr>
                <w:rFonts w:hint="eastAsia" w:ascii="仿宋" w:hAnsi="仿宋" w:eastAsia="仿宋"/>
                <w:sz w:val="28"/>
                <w:szCs w:val="28"/>
              </w:rPr>
              <w:t>国外</w:t>
            </w:r>
          </w:p>
        </w:tc>
        <w:tc>
          <w:tcPr>
            <w:tcW w:w="3990" w:type="dxa"/>
            <w:tcBorders>
              <w:top w:val="single" w:color="auto" w:sz="6" w:space="0"/>
              <w:left w:val="single" w:color="auto" w:sz="6" w:space="0"/>
              <w:bottom w:val="single" w:color="auto" w:sz="6" w:space="0"/>
              <w:right w:val="single" w:color="auto" w:sz="6" w:space="0"/>
            </w:tcBorders>
            <w:shd w:val="clear" w:color="auto" w:fill="FFFFFF"/>
            <w:tcMar>
              <w:top w:w="75" w:type="dxa"/>
              <w:left w:w="150" w:type="dxa"/>
              <w:bottom w:w="75" w:type="dxa"/>
              <w:right w:w="150" w:type="dxa"/>
            </w:tcMar>
            <w:vAlign w:val="center"/>
          </w:tcPr>
          <w:p>
            <w:pPr>
              <w:ind w:firstLine="420"/>
              <w:rPr>
                <w:rFonts w:ascii="仿宋" w:hAnsi="仿宋" w:eastAsia="仿宋"/>
                <w:sz w:val="28"/>
                <w:szCs w:val="28"/>
              </w:rPr>
            </w:pPr>
            <w:r>
              <w:rPr>
                <w:rFonts w:hint="eastAsia" w:ascii="仿宋" w:hAnsi="仿宋" w:eastAsia="仿宋"/>
                <w:sz w:val="28"/>
                <w:szCs w:val="28"/>
              </w:rPr>
              <w:t>每7天计0.5分</w:t>
            </w:r>
          </w:p>
        </w:tc>
      </w:tr>
      <w:tr>
        <w:tblPrEx>
          <w:shd w:val="clear" w:color="auto" w:fill="FFFFFF"/>
          <w:tblCellMar>
            <w:top w:w="0" w:type="dxa"/>
            <w:left w:w="0" w:type="dxa"/>
            <w:bottom w:w="0" w:type="dxa"/>
            <w:right w:w="0" w:type="dxa"/>
          </w:tblCellMar>
        </w:tblPrEx>
        <w:trPr>
          <w:trHeight w:val="620" w:hRule="atLeast"/>
          <w:jc w:val="center"/>
        </w:trPr>
        <w:tc>
          <w:tcPr>
            <w:tcW w:w="4215" w:type="dxa"/>
            <w:tcBorders>
              <w:top w:val="single" w:color="auto" w:sz="6" w:space="0"/>
              <w:left w:val="single" w:color="auto" w:sz="6" w:space="0"/>
              <w:bottom w:val="single" w:color="auto" w:sz="6" w:space="0"/>
              <w:right w:val="single" w:color="auto" w:sz="6" w:space="0"/>
            </w:tcBorders>
            <w:shd w:val="clear" w:color="auto" w:fill="FFFFFF"/>
            <w:tcMar>
              <w:top w:w="75" w:type="dxa"/>
              <w:left w:w="150" w:type="dxa"/>
              <w:bottom w:w="75" w:type="dxa"/>
              <w:right w:w="150" w:type="dxa"/>
            </w:tcMar>
            <w:vAlign w:val="center"/>
          </w:tcPr>
          <w:p>
            <w:pPr>
              <w:ind w:firstLine="420"/>
              <w:rPr>
                <w:rFonts w:ascii="仿宋" w:hAnsi="仿宋" w:eastAsia="仿宋"/>
                <w:sz w:val="28"/>
                <w:szCs w:val="28"/>
              </w:rPr>
            </w:pPr>
            <w:r>
              <w:rPr>
                <w:rFonts w:hint="eastAsia" w:ascii="仿宋" w:hAnsi="仿宋" w:eastAsia="仿宋"/>
                <w:sz w:val="28"/>
                <w:szCs w:val="28"/>
              </w:rPr>
              <w:t>国内</w:t>
            </w:r>
          </w:p>
        </w:tc>
        <w:tc>
          <w:tcPr>
            <w:tcW w:w="3990" w:type="dxa"/>
            <w:tcBorders>
              <w:top w:val="single" w:color="auto" w:sz="6" w:space="0"/>
              <w:left w:val="single" w:color="auto" w:sz="6" w:space="0"/>
              <w:bottom w:val="single" w:color="auto" w:sz="6" w:space="0"/>
              <w:right w:val="single" w:color="auto" w:sz="6" w:space="0"/>
            </w:tcBorders>
            <w:shd w:val="clear" w:color="auto" w:fill="FFFFFF"/>
            <w:tcMar>
              <w:top w:w="75" w:type="dxa"/>
              <w:left w:w="150" w:type="dxa"/>
              <w:bottom w:w="75" w:type="dxa"/>
              <w:right w:w="150" w:type="dxa"/>
            </w:tcMar>
            <w:vAlign w:val="center"/>
          </w:tcPr>
          <w:p>
            <w:pPr>
              <w:ind w:firstLine="420"/>
              <w:rPr>
                <w:rFonts w:ascii="仿宋" w:hAnsi="仿宋" w:eastAsia="仿宋"/>
                <w:sz w:val="28"/>
                <w:szCs w:val="28"/>
              </w:rPr>
            </w:pPr>
            <w:r>
              <w:rPr>
                <w:rFonts w:hint="eastAsia" w:ascii="仿宋" w:hAnsi="仿宋" w:eastAsia="仿宋"/>
                <w:sz w:val="28"/>
                <w:szCs w:val="28"/>
              </w:rPr>
              <w:t>每15天计0.5分</w:t>
            </w:r>
          </w:p>
        </w:tc>
      </w:tr>
    </w:tbl>
    <w:p>
      <w:pPr>
        <w:ind w:firstLine="420"/>
        <w:rPr>
          <w:rFonts w:ascii="仿宋" w:hAnsi="仿宋" w:eastAsia="仿宋"/>
          <w:sz w:val="28"/>
          <w:szCs w:val="28"/>
        </w:rPr>
      </w:pPr>
      <w:r>
        <w:rPr>
          <w:rFonts w:hint="eastAsia" w:ascii="仿宋" w:hAnsi="仿宋" w:eastAsia="仿宋"/>
          <w:sz w:val="28"/>
          <w:szCs w:val="28"/>
        </w:rPr>
        <w:t>注：①国际组织必须是有广泛社会和专业内认可度的组织，并经工作小组审定；②整个实习过程必须提供相关出境、行程、住宿、现场等一系列证明文件，并由工作小组审定。</w:t>
      </w:r>
    </w:p>
    <w:p>
      <w:pPr>
        <w:numPr>
          <w:ilvl w:val="0"/>
          <w:numId w:val="1"/>
        </w:numPr>
        <w:rPr>
          <w:rFonts w:ascii="仿宋" w:hAnsi="仿宋" w:eastAsia="仿宋"/>
          <w:color w:val="000000"/>
          <w:sz w:val="28"/>
          <w:szCs w:val="28"/>
          <w:shd w:val="clear" w:color="auto" w:fill="FFFFFF"/>
        </w:rPr>
      </w:pPr>
      <w:r>
        <w:rPr>
          <w:rFonts w:hint="eastAsia" w:ascii="仿宋" w:hAnsi="仿宋" w:eastAsia="仿宋"/>
          <w:color w:val="000000"/>
          <w:sz w:val="28"/>
          <w:szCs w:val="28"/>
          <w:shd w:val="clear" w:color="auto" w:fill="FFFFFF"/>
        </w:rPr>
        <w:t>科研成果（4.5）</w:t>
      </w:r>
    </w:p>
    <w:tbl>
      <w:tblPr>
        <w:tblStyle w:val="5"/>
        <w:tblW w:w="0" w:type="auto"/>
        <w:jc w:val="center"/>
        <w:shd w:val="clear" w:color="auto" w:fill="FFFFFF"/>
        <w:tblLayout w:type="autofit"/>
        <w:tblCellMar>
          <w:top w:w="0" w:type="dxa"/>
          <w:left w:w="0" w:type="dxa"/>
          <w:bottom w:w="0" w:type="dxa"/>
          <w:right w:w="0" w:type="dxa"/>
        </w:tblCellMar>
      </w:tblPr>
      <w:tblGrid>
        <w:gridCol w:w="4215"/>
        <w:gridCol w:w="3990"/>
      </w:tblGrid>
      <w:tr>
        <w:tblPrEx>
          <w:shd w:val="clear" w:color="auto" w:fill="FFFFFF"/>
          <w:tblCellMar>
            <w:top w:w="0" w:type="dxa"/>
            <w:left w:w="0" w:type="dxa"/>
            <w:bottom w:w="0" w:type="dxa"/>
            <w:right w:w="0" w:type="dxa"/>
          </w:tblCellMar>
        </w:tblPrEx>
        <w:trPr>
          <w:trHeight w:val="620" w:hRule="atLeast"/>
          <w:jc w:val="center"/>
        </w:trPr>
        <w:tc>
          <w:tcPr>
            <w:tcW w:w="4215" w:type="dxa"/>
            <w:tcBorders>
              <w:top w:val="single" w:color="auto" w:sz="6" w:space="0"/>
              <w:left w:val="single" w:color="auto" w:sz="6" w:space="0"/>
              <w:bottom w:val="single" w:color="auto" w:sz="6" w:space="0"/>
              <w:right w:val="single" w:color="auto" w:sz="6" w:space="0"/>
            </w:tcBorders>
            <w:shd w:val="clear" w:color="auto" w:fill="FFFFFF"/>
            <w:tcMar>
              <w:top w:w="75" w:type="dxa"/>
              <w:left w:w="150" w:type="dxa"/>
              <w:bottom w:w="75" w:type="dxa"/>
              <w:right w:w="150" w:type="dxa"/>
            </w:tcMar>
            <w:vAlign w:val="center"/>
          </w:tcPr>
          <w:p>
            <w:pPr>
              <w:rPr>
                <w:rFonts w:ascii="仿宋" w:hAnsi="仿宋" w:eastAsia="仿宋"/>
                <w:sz w:val="28"/>
                <w:szCs w:val="28"/>
              </w:rPr>
            </w:pPr>
            <w:r>
              <w:rPr>
                <w:rFonts w:hint="eastAsia" w:ascii="仿宋" w:hAnsi="仿宋" w:eastAsia="仿宋"/>
                <w:sz w:val="28"/>
                <w:szCs w:val="28"/>
              </w:rPr>
              <w:t>SSCI、SCI（中科院分区一区和二区）</w:t>
            </w:r>
          </w:p>
        </w:tc>
        <w:tc>
          <w:tcPr>
            <w:tcW w:w="3990" w:type="dxa"/>
            <w:tcBorders>
              <w:top w:val="single" w:color="auto" w:sz="6" w:space="0"/>
              <w:left w:val="single" w:color="auto" w:sz="6" w:space="0"/>
              <w:bottom w:val="single" w:color="auto" w:sz="6" w:space="0"/>
              <w:right w:val="single" w:color="auto" w:sz="6" w:space="0"/>
            </w:tcBorders>
            <w:shd w:val="clear" w:color="auto" w:fill="FFFFFF"/>
            <w:tcMar>
              <w:top w:w="75" w:type="dxa"/>
              <w:left w:w="150" w:type="dxa"/>
              <w:bottom w:w="75" w:type="dxa"/>
              <w:right w:w="150" w:type="dxa"/>
            </w:tcMar>
            <w:vAlign w:val="center"/>
          </w:tcPr>
          <w:p>
            <w:pPr>
              <w:ind w:firstLine="420"/>
              <w:rPr>
                <w:rFonts w:ascii="仿宋" w:hAnsi="仿宋" w:eastAsia="仿宋"/>
                <w:sz w:val="28"/>
                <w:szCs w:val="28"/>
              </w:rPr>
            </w:pPr>
            <w:r>
              <w:rPr>
                <w:rFonts w:hint="eastAsia" w:ascii="仿宋" w:hAnsi="仿宋" w:eastAsia="仿宋"/>
                <w:sz w:val="28"/>
                <w:szCs w:val="28"/>
              </w:rPr>
              <w:t>独著或第一署名4.5分</w:t>
            </w:r>
          </w:p>
        </w:tc>
      </w:tr>
      <w:tr>
        <w:tblPrEx>
          <w:shd w:val="clear" w:color="auto" w:fill="FFFFFF"/>
          <w:tblCellMar>
            <w:top w:w="0" w:type="dxa"/>
            <w:left w:w="0" w:type="dxa"/>
            <w:bottom w:w="0" w:type="dxa"/>
            <w:right w:w="0" w:type="dxa"/>
          </w:tblCellMar>
        </w:tblPrEx>
        <w:trPr>
          <w:trHeight w:val="620" w:hRule="atLeast"/>
          <w:jc w:val="center"/>
        </w:trPr>
        <w:tc>
          <w:tcPr>
            <w:tcW w:w="4215" w:type="dxa"/>
            <w:tcBorders>
              <w:top w:val="single" w:color="auto" w:sz="6" w:space="0"/>
              <w:left w:val="single" w:color="auto" w:sz="6" w:space="0"/>
              <w:bottom w:val="single" w:color="auto" w:sz="6" w:space="0"/>
              <w:right w:val="single" w:color="auto" w:sz="6" w:space="0"/>
            </w:tcBorders>
            <w:shd w:val="clear" w:color="auto" w:fill="FFFFFF"/>
            <w:tcMar>
              <w:top w:w="75" w:type="dxa"/>
              <w:left w:w="150" w:type="dxa"/>
              <w:bottom w:w="75" w:type="dxa"/>
              <w:right w:w="150" w:type="dxa"/>
            </w:tcMar>
            <w:vAlign w:val="center"/>
          </w:tcPr>
          <w:p>
            <w:pPr>
              <w:rPr>
                <w:rFonts w:ascii="仿宋" w:hAnsi="仿宋" w:eastAsia="仿宋"/>
                <w:sz w:val="28"/>
                <w:szCs w:val="28"/>
              </w:rPr>
            </w:pPr>
            <w:r>
              <w:rPr>
                <w:rFonts w:hint="eastAsia" w:ascii="仿宋" w:hAnsi="仿宋" w:eastAsia="仿宋"/>
                <w:sz w:val="28"/>
                <w:szCs w:val="28"/>
              </w:rPr>
              <w:t>SSCI、SCI（中科院分区三区和四区）</w:t>
            </w:r>
          </w:p>
        </w:tc>
        <w:tc>
          <w:tcPr>
            <w:tcW w:w="3990" w:type="dxa"/>
            <w:tcBorders>
              <w:top w:val="single" w:color="auto" w:sz="6" w:space="0"/>
              <w:left w:val="single" w:color="auto" w:sz="6" w:space="0"/>
              <w:bottom w:val="single" w:color="auto" w:sz="6" w:space="0"/>
              <w:right w:val="single" w:color="auto" w:sz="6" w:space="0"/>
            </w:tcBorders>
            <w:shd w:val="clear" w:color="auto" w:fill="FFFFFF"/>
            <w:tcMar>
              <w:top w:w="75" w:type="dxa"/>
              <w:left w:w="150" w:type="dxa"/>
              <w:bottom w:w="75" w:type="dxa"/>
              <w:right w:w="150" w:type="dxa"/>
            </w:tcMar>
            <w:vAlign w:val="center"/>
          </w:tcPr>
          <w:p>
            <w:pPr>
              <w:ind w:firstLine="420"/>
              <w:rPr>
                <w:rFonts w:ascii="仿宋" w:hAnsi="仿宋" w:eastAsia="仿宋"/>
                <w:sz w:val="28"/>
                <w:szCs w:val="28"/>
              </w:rPr>
            </w:pPr>
            <w:r>
              <w:rPr>
                <w:rFonts w:hint="eastAsia" w:ascii="仿宋" w:hAnsi="仿宋" w:eastAsia="仿宋"/>
                <w:sz w:val="28"/>
                <w:szCs w:val="28"/>
              </w:rPr>
              <w:t>独著或第一署名3分</w:t>
            </w:r>
          </w:p>
        </w:tc>
      </w:tr>
      <w:tr>
        <w:tblPrEx>
          <w:shd w:val="clear" w:color="auto" w:fill="FFFFFF"/>
          <w:tblCellMar>
            <w:top w:w="0" w:type="dxa"/>
            <w:left w:w="0" w:type="dxa"/>
            <w:bottom w:w="0" w:type="dxa"/>
            <w:right w:w="0" w:type="dxa"/>
          </w:tblCellMar>
        </w:tblPrEx>
        <w:trPr>
          <w:trHeight w:val="620" w:hRule="atLeast"/>
          <w:jc w:val="center"/>
        </w:trPr>
        <w:tc>
          <w:tcPr>
            <w:tcW w:w="4215" w:type="dxa"/>
            <w:tcBorders>
              <w:top w:val="single" w:color="auto" w:sz="6" w:space="0"/>
              <w:left w:val="single" w:color="auto" w:sz="6" w:space="0"/>
              <w:bottom w:val="single" w:color="auto" w:sz="6" w:space="0"/>
              <w:right w:val="single" w:color="auto" w:sz="6" w:space="0"/>
            </w:tcBorders>
            <w:shd w:val="clear" w:color="auto" w:fill="FFFFFF"/>
            <w:tcMar>
              <w:top w:w="75" w:type="dxa"/>
              <w:left w:w="150" w:type="dxa"/>
              <w:bottom w:w="75" w:type="dxa"/>
              <w:right w:w="150" w:type="dxa"/>
            </w:tcMar>
            <w:vAlign w:val="center"/>
          </w:tcPr>
          <w:p>
            <w:pPr>
              <w:ind w:firstLine="420"/>
              <w:rPr>
                <w:rFonts w:ascii="仿宋" w:hAnsi="仿宋" w:eastAsia="仿宋"/>
                <w:sz w:val="28"/>
                <w:szCs w:val="28"/>
              </w:rPr>
            </w:pPr>
            <w:r>
              <w:rPr>
                <w:rFonts w:hint="eastAsia" w:ascii="仿宋" w:hAnsi="仿宋" w:eastAsia="仿宋"/>
                <w:sz w:val="28"/>
                <w:szCs w:val="28"/>
              </w:rPr>
              <w:t>中文核心期刊</w:t>
            </w:r>
          </w:p>
        </w:tc>
        <w:tc>
          <w:tcPr>
            <w:tcW w:w="3990" w:type="dxa"/>
            <w:tcBorders>
              <w:top w:val="single" w:color="auto" w:sz="6" w:space="0"/>
              <w:left w:val="single" w:color="auto" w:sz="6" w:space="0"/>
              <w:bottom w:val="single" w:color="auto" w:sz="6" w:space="0"/>
              <w:right w:val="single" w:color="auto" w:sz="6" w:space="0"/>
            </w:tcBorders>
            <w:shd w:val="clear" w:color="auto" w:fill="FFFFFF"/>
            <w:tcMar>
              <w:top w:w="75" w:type="dxa"/>
              <w:left w:w="150" w:type="dxa"/>
              <w:bottom w:w="75" w:type="dxa"/>
              <w:right w:w="150" w:type="dxa"/>
            </w:tcMar>
            <w:vAlign w:val="center"/>
          </w:tcPr>
          <w:p>
            <w:pPr>
              <w:ind w:firstLine="420"/>
              <w:rPr>
                <w:rFonts w:ascii="仿宋" w:hAnsi="仿宋" w:eastAsia="仿宋"/>
                <w:sz w:val="28"/>
                <w:szCs w:val="28"/>
              </w:rPr>
            </w:pPr>
            <w:r>
              <w:rPr>
                <w:rFonts w:hint="eastAsia" w:ascii="仿宋" w:hAnsi="仿宋" w:eastAsia="仿宋"/>
                <w:sz w:val="28"/>
                <w:szCs w:val="28"/>
              </w:rPr>
              <w:t>独著或第一署名2分</w:t>
            </w:r>
          </w:p>
        </w:tc>
      </w:tr>
    </w:tbl>
    <w:p>
      <w:pPr>
        <w:jc w:val="left"/>
        <w:rPr>
          <w:rFonts w:ascii="仿宋" w:hAnsi="仿宋" w:eastAsia="仿宋"/>
          <w:sz w:val="28"/>
          <w:szCs w:val="28"/>
        </w:rPr>
      </w:pPr>
      <w:r>
        <w:rPr>
          <w:rFonts w:hint="eastAsia" w:ascii="仿宋" w:hAnsi="仿宋" w:eastAsia="仿宋"/>
          <w:sz w:val="28"/>
          <w:szCs w:val="28"/>
        </w:rPr>
        <w:t xml:space="preserve">注：1.与亲属或学历、职称、职务明显高于本人者（教师、研究生等）合作的科研成果仅作为参考，不计分，仅同等条件下优先推荐；           </w:t>
      </w:r>
    </w:p>
    <w:p>
      <w:pPr>
        <w:ind w:firstLine="560" w:firstLineChars="200"/>
        <w:jc w:val="left"/>
        <w:rPr>
          <w:rFonts w:ascii="仿宋" w:hAnsi="仿宋" w:eastAsia="仿宋"/>
          <w:sz w:val="28"/>
          <w:szCs w:val="28"/>
        </w:rPr>
      </w:pPr>
      <w:r>
        <w:rPr>
          <w:rFonts w:hint="eastAsia" w:ascii="仿宋" w:hAnsi="仿宋" w:eastAsia="仿宋"/>
          <w:sz w:val="28"/>
          <w:szCs w:val="28"/>
        </w:rPr>
        <w:t>2.论文成果必须和所学专业紧密相关；</w:t>
      </w:r>
    </w:p>
    <w:p>
      <w:pPr>
        <w:ind w:firstLine="560" w:firstLineChars="200"/>
        <w:jc w:val="left"/>
        <w:rPr>
          <w:rFonts w:ascii="仿宋" w:hAnsi="仿宋" w:eastAsia="仿宋"/>
          <w:sz w:val="28"/>
          <w:szCs w:val="28"/>
        </w:rPr>
      </w:pPr>
      <w:r>
        <w:rPr>
          <w:rFonts w:hint="eastAsia" w:ascii="仿宋" w:hAnsi="仿宋" w:eastAsia="仿宋"/>
          <w:sz w:val="28"/>
          <w:szCs w:val="28"/>
        </w:rPr>
        <w:t>3.期刊收录目录以发表当年为准；</w:t>
      </w:r>
    </w:p>
    <w:p>
      <w:pPr>
        <w:ind w:firstLine="560" w:firstLineChars="200"/>
        <w:jc w:val="left"/>
        <w:rPr>
          <w:rFonts w:ascii="仿宋" w:hAnsi="仿宋" w:eastAsia="仿宋"/>
          <w:sz w:val="28"/>
          <w:szCs w:val="28"/>
        </w:rPr>
      </w:pPr>
      <w:r>
        <w:rPr>
          <w:rFonts w:hint="eastAsia" w:ascii="仿宋" w:hAnsi="仿宋" w:eastAsia="仿宋"/>
          <w:sz w:val="28"/>
          <w:szCs w:val="28"/>
        </w:rPr>
        <w:t>4.论文必须以河南农业大学动物医学院为第一署名单位；</w:t>
      </w:r>
    </w:p>
    <w:p>
      <w:pPr>
        <w:ind w:firstLine="560" w:firstLineChars="200"/>
        <w:jc w:val="left"/>
        <w:rPr>
          <w:color w:val="333333"/>
          <w:szCs w:val="21"/>
          <w:shd w:val="clear" w:color="auto" w:fill="FFFFFF"/>
        </w:rPr>
      </w:pPr>
      <w:r>
        <w:rPr>
          <w:rFonts w:hint="eastAsia" w:ascii="仿宋" w:hAnsi="仿宋" w:eastAsia="仿宋"/>
          <w:sz w:val="28"/>
          <w:szCs w:val="28"/>
        </w:rPr>
        <w:t>5.科研成果的潜在学术不端问题需经专家审核组现场审查，审查内容包括但不限于实验场地及来源、原始数据记录、数据分析能力、论文撰写能力、指导教师和实验室相关人员证明等</w:t>
      </w:r>
      <w:r>
        <w:rPr>
          <w:rFonts w:hint="eastAsia"/>
          <w:color w:val="333333"/>
          <w:szCs w:val="21"/>
          <w:shd w:val="clear" w:color="auto" w:fill="FFFFFF"/>
        </w:rPr>
        <w:t>。</w:t>
      </w:r>
    </w:p>
    <w:p>
      <w:pPr>
        <w:rPr>
          <w:rFonts w:ascii="仿宋" w:hAnsi="仿宋" w:eastAsia="仿宋"/>
          <w:color w:val="000000"/>
          <w:sz w:val="28"/>
          <w:szCs w:val="28"/>
          <w:shd w:val="clear" w:color="auto" w:fill="FFFFFF"/>
        </w:rPr>
      </w:pPr>
      <w:r>
        <w:rPr>
          <w:rFonts w:hint="eastAsia" w:ascii="仿宋" w:hAnsi="仿宋" w:eastAsia="仿宋"/>
          <w:color w:val="000000"/>
          <w:sz w:val="28"/>
          <w:szCs w:val="28"/>
          <w:shd w:val="clear" w:color="auto" w:fill="FFFFFF"/>
        </w:rPr>
        <w:t>5、国内权威科研竞赛（4.5）</w:t>
      </w:r>
    </w:p>
    <w:p>
      <w:pPr>
        <w:rPr>
          <w:rFonts w:ascii="仿宋" w:hAnsi="仿宋" w:eastAsia="仿宋"/>
          <w:color w:val="000000"/>
          <w:sz w:val="28"/>
          <w:szCs w:val="28"/>
          <w:highlight w:val="yellow"/>
          <w:shd w:val="clear" w:color="auto" w:fill="FFFFFF"/>
        </w:rPr>
      </w:pPr>
      <w:r>
        <w:rPr>
          <w:rFonts w:hint="eastAsia" w:ascii="仿宋" w:hAnsi="仿宋" w:eastAsia="仿宋"/>
          <w:sz w:val="28"/>
          <w:szCs w:val="28"/>
        </w:rPr>
        <w:t>作为主力成员参加与学业相关的国内权威科研竞赛（全国赛）并获得三等奖以上奖励（国际赛事参照执行，但不得低于国内赛事相关要求）。</w:t>
      </w:r>
    </w:p>
    <w:p>
      <w:pPr>
        <w:rPr>
          <w:rFonts w:ascii="仿宋" w:hAnsi="仿宋" w:eastAsia="仿宋"/>
          <w:color w:val="000000"/>
          <w:sz w:val="28"/>
          <w:szCs w:val="28"/>
          <w:shd w:val="clear" w:color="auto" w:fill="FFFFFF"/>
        </w:rPr>
      </w:pPr>
      <w:r>
        <w:rPr>
          <w:rFonts w:hint="eastAsia" w:ascii="仿宋" w:hAnsi="仿宋" w:eastAsia="仿宋"/>
          <w:color w:val="000000"/>
          <w:sz w:val="28"/>
          <w:szCs w:val="28"/>
          <w:shd w:val="clear" w:color="auto" w:fill="FFFFFF"/>
        </w:rPr>
        <w:t>A类竞赛：主要指竞赛项目主办方为多个国家级部委，如全国“互联网+”创新创业大赛、大学生电子设计竞赛、计算机仿真竞赛等,一等奖4.5分，二等奖4分，三等奖3.5分。</w:t>
      </w:r>
    </w:p>
    <w:p>
      <w:pPr>
        <w:rPr>
          <w:rFonts w:ascii="仿宋" w:hAnsi="仿宋" w:eastAsia="仿宋"/>
          <w:color w:val="000000"/>
          <w:sz w:val="28"/>
          <w:szCs w:val="28"/>
          <w:shd w:val="clear" w:color="auto" w:fill="FFFFFF"/>
        </w:rPr>
      </w:pPr>
      <w:r>
        <w:rPr>
          <w:rFonts w:hint="eastAsia" w:ascii="仿宋" w:hAnsi="仿宋" w:eastAsia="仿宋"/>
          <w:color w:val="000000"/>
          <w:sz w:val="28"/>
          <w:szCs w:val="28"/>
          <w:shd w:val="clear" w:color="auto" w:fill="FFFFFF"/>
        </w:rPr>
        <w:t>B类竞赛：主要指由教育部明确发文资助的竞赛，简称“教育部”。如教育部高教司举办的全国大学生工程训练中心综合能力竞赛、美术与设计大展、师范大学生教学技能竞赛等，一等奖3分，二等奖2.5分，三等奖2分。</w:t>
      </w:r>
    </w:p>
    <w:p>
      <w:pPr>
        <w:rPr>
          <w:rFonts w:ascii="仿宋" w:hAnsi="仿宋" w:eastAsia="仿宋"/>
          <w:color w:val="000000"/>
          <w:sz w:val="28"/>
          <w:szCs w:val="28"/>
          <w:shd w:val="clear" w:color="auto" w:fill="FFFFFF"/>
        </w:rPr>
      </w:pPr>
      <w:r>
        <w:rPr>
          <w:rFonts w:hint="eastAsia" w:ascii="仿宋" w:hAnsi="仿宋" w:eastAsia="仿宋"/>
          <w:color w:val="000000"/>
          <w:sz w:val="28"/>
          <w:szCs w:val="28"/>
          <w:shd w:val="clear" w:color="auto" w:fill="FFFFFF"/>
        </w:rPr>
        <w:t>C类竞赛：主要指由高等教育学会或教育部高等学校教学指导委员会主办的竞赛，简称“教指委”，如全国软件专业人才设计与开发大赛、大学生英语竞赛等，一等奖1.5分，二等奖1分，三等奖0.5分。</w:t>
      </w:r>
    </w:p>
    <w:p>
      <w:pPr>
        <w:rPr>
          <w:rFonts w:ascii="仿宋" w:hAnsi="仿宋" w:eastAsia="仿宋"/>
          <w:color w:val="000000"/>
          <w:sz w:val="28"/>
          <w:szCs w:val="28"/>
          <w:highlight w:val="yellow"/>
          <w:shd w:val="clear" w:color="auto" w:fill="FFFFFF"/>
        </w:rPr>
      </w:pPr>
      <w:r>
        <w:rPr>
          <w:rFonts w:hint="eastAsia" w:ascii="仿宋" w:hAnsi="仿宋" w:eastAsia="仿宋"/>
          <w:color w:val="000000"/>
          <w:sz w:val="28"/>
          <w:szCs w:val="28"/>
          <w:shd w:val="clear" w:color="auto" w:fill="FFFFFF"/>
        </w:rPr>
        <w:t>注：主力成员一般指前三名。其他赛事不计入。</w:t>
      </w:r>
    </w:p>
    <w:p>
      <w:pPr>
        <w:rPr>
          <w:rFonts w:ascii="仿宋" w:hAnsi="仿宋" w:eastAsia="仿宋"/>
          <w:color w:val="000000"/>
          <w:sz w:val="28"/>
          <w:szCs w:val="28"/>
          <w:shd w:val="clear" w:color="auto" w:fill="FFFFFF"/>
        </w:rPr>
      </w:pPr>
      <w:r>
        <w:rPr>
          <w:rFonts w:hint="eastAsia" w:ascii="仿宋" w:hAnsi="仿宋" w:eastAsia="仿宋"/>
          <w:color w:val="000000"/>
          <w:sz w:val="28"/>
          <w:szCs w:val="28"/>
          <w:shd w:val="clear" w:color="auto" w:fill="FFFFFF"/>
        </w:rPr>
        <w:t>6、单项分值不累计</w:t>
      </w:r>
    </w:p>
    <w:p>
      <w:pPr>
        <w:rPr>
          <w:rFonts w:ascii="仿宋" w:hAnsi="仿宋" w:eastAsia="仿宋"/>
          <w:color w:val="000000"/>
          <w:sz w:val="28"/>
          <w:szCs w:val="28"/>
          <w:shd w:val="clear" w:color="auto" w:fill="FFFFFF"/>
        </w:rPr>
      </w:pPr>
      <w:r>
        <w:rPr>
          <w:rFonts w:hint="eastAsia" w:ascii="仿宋" w:hAnsi="仿宋" w:eastAsia="仿宋"/>
          <w:color w:val="000000"/>
          <w:sz w:val="28"/>
          <w:szCs w:val="28"/>
          <w:shd w:val="clear" w:color="auto" w:fill="FFFFFF"/>
        </w:rPr>
        <w:t>合理设置指标权重和上限分值，学生在某一方面(参军入伍服兵役、参加志愿服务、到国际组织实习、科研成果、竞赛获奖)有多项加分情况时，原则上只取一项。</w:t>
      </w:r>
    </w:p>
    <w:p>
      <w:pPr>
        <w:ind w:firstLine="420"/>
        <w:rPr>
          <w:rFonts w:ascii="仿宋" w:hAnsi="仿宋" w:eastAsia="仿宋"/>
          <w:sz w:val="28"/>
          <w:szCs w:val="28"/>
        </w:rPr>
      </w:pPr>
      <w:r>
        <w:rPr>
          <w:rFonts w:ascii="仿宋" w:hAnsi="仿宋" w:eastAsia="仿宋"/>
          <w:sz w:val="28"/>
          <w:szCs w:val="28"/>
        </w:rPr>
        <w:cr/>
      </w:r>
    </w:p>
    <w:p>
      <w:pPr>
        <w:ind w:firstLine="420"/>
        <w:jc w:val="right"/>
        <w:rPr>
          <w:rFonts w:ascii="仿宋" w:hAnsi="仿宋" w:eastAsia="仿宋"/>
          <w:color w:val="000000"/>
          <w:sz w:val="28"/>
          <w:szCs w:val="28"/>
          <w:shd w:val="clear" w:color="auto" w:fill="FFFFFF"/>
        </w:rPr>
      </w:pPr>
      <w:r>
        <w:rPr>
          <w:rFonts w:hint="eastAsia" w:ascii="仿宋" w:hAnsi="仿宋" w:eastAsia="仿宋"/>
          <w:color w:val="000000"/>
          <w:sz w:val="28"/>
          <w:szCs w:val="28"/>
          <w:shd w:val="clear" w:color="auto" w:fill="FFFFFF"/>
        </w:rPr>
        <w:t>动物医学院</w:t>
      </w:r>
    </w:p>
    <w:p>
      <w:pPr>
        <w:wordWrap w:val="0"/>
        <w:ind w:firstLine="420"/>
        <w:jc w:val="right"/>
        <w:rPr>
          <w:rFonts w:ascii="仿宋" w:hAnsi="仿宋" w:eastAsia="仿宋"/>
          <w:color w:val="000000"/>
          <w:sz w:val="28"/>
          <w:szCs w:val="28"/>
          <w:shd w:val="clear" w:color="auto" w:fill="FFFFFF"/>
        </w:rPr>
      </w:pPr>
      <w:r>
        <w:rPr>
          <w:rFonts w:ascii="仿宋" w:hAnsi="仿宋" w:eastAsia="仿宋"/>
          <w:color w:val="000000"/>
          <w:sz w:val="28"/>
          <w:szCs w:val="28"/>
          <w:shd w:val="clear" w:color="auto" w:fill="FFFFFF"/>
        </w:rPr>
        <w:t>2023年9月</w:t>
      </w:r>
      <w:r>
        <w:rPr>
          <w:rFonts w:hint="eastAsia" w:ascii="仿宋" w:hAnsi="仿宋" w:eastAsia="仿宋"/>
          <w:color w:val="000000"/>
          <w:sz w:val="28"/>
          <w:szCs w:val="28"/>
          <w:shd w:val="clear" w:color="auto" w:fill="FFFFFF"/>
        </w:rPr>
        <w:t>21</w:t>
      </w:r>
      <w:r>
        <w:rPr>
          <w:rFonts w:ascii="仿宋" w:hAnsi="仿宋" w:eastAsia="仿宋"/>
          <w:color w:val="000000"/>
          <w:sz w:val="28"/>
          <w:szCs w:val="28"/>
          <w:shd w:val="clear" w:color="auto" w:fill="FFFFFF"/>
        </w:rPr>
        <w:t>日</w:t>
      </w:r>
    </w:p>
    <w:p>
      <w:pPr>
        <w:wordWrap w:val="0"/>
        <w:rPr>
          <w:rFonts w:ascii="仿宋" w:hAnsi="仿宋" w:eastAsia="仿宋"/>
          <w:sz w:val="28"/>
          <w:szCs w:val="28"/>
        </w:rPr>
      </w:pPr>
      <w:r>
        <w:rPr>
          <w:rFonts w:hint="eastAsia" w:ascii="仿宋" w:hAnsi="仿宋" w:eastAsia="仿宋"/>
          <w:color w:val="000000"/>
          <w:sz w:val="28"/>
          <w:szCs w:val="28"/>
          <w:shd w:val="clear" w:color="auto" w:fill="FFFFFF"/>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E39C6"/>
    <w:multiLevelType w:val="singleLevel"/>
    <w:tmpl w:val="DD0E39C6"/>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0M2JiZDBkNTA0YTlmNWM4OTBmNjM1MDA4NWFlMTQifQ=="/>
  </w:docVars>
  <w:rsids>
    <w:rsidRoot w:val="00250955"/>
    <w:rsid w:val="00097359"/>
    <w:rsid w:val="001B0AEC"/>
    <w:rsid w:val="001C1E20"/>
    <w:rsid w:val="00250955"/>
    <w:rsid w:val="00322EEB"/>
    <w:rsid w:val="00373250"/>
    <w:rsid w:val="003A71B4"/>
    <w:rsid w:val="003D78B2"/>
    <w:rsid w:val="005A4354"/>
    <w:rsid w:val="005C3FB7"/>
    <w:rsid w:val="005F73D4"/>
    <w:rsid w:val="006260F3"/>
    <w:rsid w:val="00670ECA"/>
    <w:rsid w:val="006E35E5"/>
    <w:rsid w:val="00742A10"/>
    <w:rsid w:val="00763E53"/>
    <w:rsid w:val="007D30EE"/>
    <w:rsid w:val="007D697D"/>
    <w:rsid w:val="00977141"/>
    <w:rsid w:val="00A06A95"/>
    <w:rsid w:val="00B756AB"/>
    <w:rsid w:val="00BB6BB3"/>
    <w:rsid w:val="00BF18FA"/>
    <w:rsid w:val="00D00616"/>
    <w:rsid w:val="00F45EC9"/>
    <w:rsid w:val="03873EE9"/>
    <w:rsid w:val="06DD1D1D"/>
    <w:rsid w:val="10312D37"/>
    <w:rsid w:val="114841DF"/>
    <w:rsid w:val="1793475B"/>
    <w:rsid w:val="20B436D9"/>
    <w:rsid w:val="21E27C4D"/>
    <w:rsid w:val="2B181413"/>
    <w:rsid w:val="33E66DDD"/>
    <w:rsid w:val="3D566A2F"/>
    <w:rsid w:val="40011FFC"/>
    <w:rsid w:val="5FEC7791"/>
    <w:rsid w:val="7E361826"/>
    <w:rsid w:val="7E8B2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221</Words>
  <Characters>1265</Characters>
  <Lines>10</Lines>
  <Paragraphs>2</Paragraphs>
  <TotalTime>1</TotalTime>
  <ScaleCrop>false</ScaleCrop>
  <LinksUpToDate>false</LinksUpToDate>
  <CharactersWithSpaces>1484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2023-09-21T12:47:00Z</dcterms:created>
  <dc:creator>薛晓亚</dc:creator>
  <cp:lastModifiedBy>Carina</cp:lastModifiedBy>
  <cp:lastPrinted>2023-09-19T09:56:00Z</cp:lastPrinted>
  <dcterms:modified xsi:type="dcterms:W3CDTF">2023-09-22T01:56:36Z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06347029FE8B4B578A7136A53DE957FC_12</vt:lpwstr>
  </property>
</Properties>
</file>